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01FD5">
      <w:pPr>
        <w:snapToGrid w:val="0"/>
        <w:spacing w:line="360" w:lineRule="auto"/>
        <w:ind w:firstLine="630" w:firstLineChars="196"/>
        <w:rPr>
          <w:rFonts w:ascii="宋体" w:hAnsi="宋体" w:eastAsia="宋体"/>
          <w:b/>
          <w:sz w:val="32"/>
          <w:szCs w:val="32"/>
        </w:rPr>
      </w:pPr>
    </w:p>
    <w:p w14:paraId="4632CB49">
      <w:pPr>
        <w:snapToGrid w:val="0"/>
        <w:spacing w:line="360" w:lineRule="auto"/>
        <w:rPr>
          <w:rFonts w:ascii="仿宋" w:hAnsi="仿宋" w:eastAsia="仿宋"/>
          <w:b/>
          <w:szCs w:val="28"/>
        </w:rPr>
      </w:pPr>
      <w:r>
        <w:rPr>
          <w:rFonts w:hint="eastAsia" w:ascii="仿宋" w:hAnsi="仿宋" w:eastAsia="仿宋"/>
          <w:b/>
          <w:szCs w:val="28"/>
        </w:rPr>
        <w:t>附表1</w:t>
      </w:r>
    </w:p>
    <w:p w14:paraId="1970D0D9">
      <w:pPr>
        <w:snapToGrid w:val="0"/>
        <w:spacing w:line="360" w:lineRule="auto"/>
        <w:jc w:val="center"/>
        <w:rPr>
          <w:rFonts w:ascii="宋体" w:hAnsi="宋体" w:eastAsia="宋体"/>
          <w:b/>
          <w:sz w:val="32"/>
          <w:szCs w:val="32"/>
        </w:rPr>
      </w:pPr>
      <w:r>
        <w:rPr>
          <w:rFonts w:hint="eastAsia" w:ascii="宋体" w:hAnsi="宋体" w:eastAsia="宋体"/>
          <w:b/>
          <w:color w:val="auto"/>
          <w:sz w:val="32"/>
          <w:szCs w:val="32"/>
        </w:rPr>
        <w:t>协会标准项</w:t>
      </w:r>
      <w:r>
        <w:rPr>
          <w:rFonts w:hint="eastAsia" w:ascii="宋体" w:hAnsi="宋体" w:eastAsia="宋体"/>
          <w:b/>
          <w:sz w:val="32"/>
          <w:szCs w:val="32"/>
        </w:rPr>
        <w:t>目建议书</w:t>
      </w:r>
    </w:p>
    <w:tbl>
      <w:tblPr>
        <w:tblStyle w:val="6"/>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572"/>
        <w:gridCol w:w="540"/>
        <w:gridCol w:w="540"/>
        <w:gridCol w:w="928"/>
        <w:gridCol w:w="886"/>
        <w:gridCol w:w="957"/>
        <w:gridCol w:w="744"/>
        <w:gridCol w:w="1900"/>
      </w:tblGrid>
      <w:tr w14:paraId="1A381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673" w:type="dxa"/>
            <w:vAlign w:val="center"/>
          </w:tcPr>
          <w:p w14:paraId="50E3AFF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建议项目名称</w:t>
            </w:r>
          </w:p>
          <w:p w14:paraId="028B07F3">
            <w:pPr>
              <w:keepNext w:val="0"/>
              <w:keepLines w:val="0"/>
              <w:pageBreakBefore w:val="0"/>
              <w:widowControl w:val="0"/>
              <w:kinsoku/>
              <w:wordWrap/>
              <w:overflowPunct/>
              <w:topLinePunct w:val="0"/>
              <w:autoSpaceDE/>
              <w:autoSpaceDN/>
              <w:bidi w:val="0"/>
              <w:adjustRightInd/>
              <w:snapToGrid w:val="0"/>
              <w:spacing w:line="240" w:lineRule="auto"/>
              <w:ind w:left="-5" w:leftChars="-6" w:hanging="12" w:hangingChars="7"/>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（中文）</w:t>
            </w:r>
          </w:p>
        </w:tc>
        <w:tc>
          <w:tcPr>
            <w:tcW w:w="3580" w:type="dxa"/>
            <w:gridSpan w:val="4"/>
            <w:vAlign w:val="center"/>
          </w:tcPr>
          <w:p w14:paraId="3E2C319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lang w:eastAsia="zh-CN"/>
              </w:rPr>
              <w:t>绿色工厂评价要求</w:t>
            </w:r>
            <w:r>
              <w:rPr>
                <w:rFonts w:hint="default" w:ascii="Times New Roman" w:hAnsi="Times New Roman" w:eastAsia="宋体" w:cs="Times New Roman"/>
                <w:sz w:val="18"/>
                <w:szCs w:val="18"/>
                <w:lang w:val="en-US" w:eastAsia="zh-CN"/>
              </w:rPr>
              <w:t xml:space="preserve"> 供暖散热器行业</w:t>
            </w:r>
          </w:p>
        </w:tc>
        <w:tc>
          <w:tcPr>
            <w:tcW w:w="1843" w:type="dxa"/>
            <w:gridSpan w:val="2"/>
            <w:vAlign w:val="center"/>
          </w:tcPr>
          <w:p w14:paraId="7B4D4C2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建议项目名称</w:t>
            </w:r>
          </w:p>
          <w:p w14:paraId="5C55F8C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（英文）</w:t>
            </w:r>
          </w:p>
        </w:tc>
        <w:tc>
          <w:tcPr>
            <w:tcW w:w="2644" w:type="dxa"/>
            <w:gridSpan w:val="2"/>
            <w:vAlign w:val="center"/>
          </w:tcPr>
          <w:p w14:paraId="4E60248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方正仿宋_GB2312" w:cs="Times New Roman"/>
                <w:sz w:val="18"/>
                <w:szCs w:val="18"/>
                <w:lang w:eastAsia="zh-CN"/>
              </w:rPr>
              <w:t>Requirements for assessment of green factory</w:t>
            </w:r>
            <w:r>
              <w:rPr>
                <w:rFonts w:hint="default" w:ascii="Times New Roman" w:hAnsi="Times New Roman" w:eastAsia="方正仿宋_GB2312" w:cs="Times New Roman"/>
                <w:sz w:val="18"/>
                <w:szCs w:val="18"/>
                <w:lang w:val="en-US" w:eastAsia="zh-CN"/>
              </w:rPr>
              <w:t>—</w:t>
            </w:r>
            <w:r>
              <w:rPr>
                <w:rFonts w:hint="default" w:ascii="Times New Roman" w:hAnsi="Times New Roman" w:eastAsia="方正仿宋_GB2312" w:cs="Times New Roman"/>
                <w:sz w:val="18"/>
                <w:szCs w:val="18"/>
                <w:lang w:eastAsia="zh-CN"/>
              </w:rPr>
              <w:t>Heating</w:t>
            </w:r>
            <w:r>
              <w:rPr>
                <w:rFonts w:hint="default" w:ascii="Times New Roman" w:hAnsi="Times New Roman" w:eastAsia="方正仿宋_GB2312" w:cs="Times New Roman"/>
                <w:sz w:val="18"/>
                <w:szCs w:val="18"/>
                <w:lang w:val="en-US" w:eastAsia="zh-CN"/>
              </w:rPr>
              <w:t xml:space="preserve"> radiator industry</w:t>
            </w:r>
          </w:p>
        </w:tc>
      </w:tr>
      <w:tr w14:paraId="21099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1673" w:type="dxa"/>
            <w:vAlign w:val="center"/>
          </w:tcPr>
          <w:p w14:paraId="53CF2D6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制定或修订</w:t>
            </w:r>
          </w:p>
        </w:tc>
        <w:tc>
          <w:tcPr>
            <w:tcW w:w="2112" w:type="dxa"/>
            <w:gridSpan w:val="2"/>
            <w:vAlign w:val="center"/>
          </w:tcPr>
          <w:p w14:paraId="17BD4EF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default" w:ascii="Times New Roman" w:hAnsi="Times New Roman" w:eastAsia="宋体" w:cs="Times New Roman"/>
                <w:sz w:val="18"/>
                <w:szCs w:val="18"/>
              </w:rPr>
            </w:pPr>
            <w:r>
              <w:rPr>
                <w:rFonts w:hint="eastAsia" w:eastAsia="宋体" w:cs="Times New Roman"/>
                <w:sz w:val="18"/>
                <w:szCs w:val="18"/>
                <w:lang w:eastAsia="zh-CN"/>
              </w:rPr>
              <w:t>☑</w:t>
            </w:r>
            <w:r>
              <w:rPr>
                <w:rFonts w:hint="default" w:ascii="Times New Roman" w:hAnsi="Times New Roman" w:eastAsia="宋体" w:cs="Times New Roman"/>
                <w:sz w:val="18"/>
                <w:szCs w:val="18"/>
              </w:rPr>
              <w:t xml:space="preserve"> 制定</w:t>
            </w:r>
          </w:p>
        </w:tc>
        <w:tc>
          <w:tcPr>
            <w:tcW w:w="1468" w:type="dxa"/>
            <w:gridSpan w:val="2"/>
            <w:vAlign w:val="center"/>
          </w:tcPr>
          <w:p w14:paraId="3462185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default" w:ascii="Times New Roman" w:hAnsi="Times New Roman" w:eastAsia="宋体" w:cs="Times New Roman"/>
                <w:sz w:val="18"/>
                <w:szCs w:val="18"/>
              </w:rPr>
            </w:pPr>
            <w:r>
              <w:rPr>
                <w:rFonts w:hint="eastAsia" w:eastAsia="宋体" w:cs="Times New Roman"/>
                <w:sz w:val="18"/>
                <w:szCs w:val="18"/>
                <w:lang w:eastAsia="zh-CN"/>
              </w:rPr>
              <w:t>□</w:t>
            </w:r>
            <w:r>
              <w:rPr>
                <w:rFonts w:hint="default" w:ascii="Times New Roman" w:hAnsi="Times New Roman" w:eastAsia="宋体" w:cs="Times New Roman"/>
                <w:sz w:val="18"/>
                <w:szCs w:val="18"/>
              </w:rPr>
              <w:t>修订</w:t>
            </w:r>
          </w:p>
        </w:tc>
        <w:tc>
          <w:tcPr>
            <w:tcW w:w="1843" w:type="dxa"/>
            <w:gridSpan w:val="2"/>
            <w:vAlign w:val="center"/>
          </w:tcPr>
          <w:p w14:paraId="218233B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被修订标准号</w:t>
            </w:r>
          </w:p>
        </w:tc>
        <w:tc>
          <w:tcPr>
            <w:tcW w:w="2644" w:type="dxa"/>
            <w:gridSpan w:val="2"/>
            <w:vAlign w:val="center"/>
          </w:tcPr>
          <w:p w14:paraId="5681824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w:t>
            </w:r>
          </w:p>
        </w:tc>
      </w:tr>
      <w:tr w14:paraId="1D85F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1673" w:type="dxa"/>
            <w:vAlign w:val="center"/>
          </w:tcPr>
          <w:p w14:paraId="3CECC9F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采用程度</w:t>
            </w:r>
          </w:p>
        </w:tc>
        <w:tc>
          <w:tcPr>
            <w:tcW w:w="1572" w:type="dxa"/>
            <w:vAlign w:val="center"/>
          </w:tcPr>
          <w:p w14:paraId="2DAB030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default" w:ascii="Times New Roman" w:hAnsi="Times New Roman" w:eastAsia="宋体" w:cs="Times New Roman"/>
                <w:sz w:val="18"/>
                <w:szCs w:val="18"/>
              </w:rPr>
            </w:pPr>
            <w:r>
              <w:rPr>
                <w:rFonts w:hint="eastAsia" w:eastAsia="宋体" w:cs="Times New Roman"/>
                <w:sz w:val="18"/>
                <w:szCs w:val="18"/>
                <w:lang w:eastAsia="zh-CN"/>
              </w:rPr>
              <w:t>□</w:t>
            </w:r>
            <w:r>
              <w:rPr>
                <w:rFonts w:hint="eastAsia" w:eastAsia="宋体" w:cs="Times New Roman"/>
                <w:sz w:val="18"/>
                <w:szCs w:val="18"/>
                <w:lang w:val="en-US" w:eastAsia="zh-CN"/>
              </w:rPr>
              <w:t xml:space="preserve"> </w:t>
            </w:r>
            <w:r>
              <w:rPr>
                <w:rFonts w:hint="default" w:ascii="Times New Roman" w:hAnsi="Times New Roman" w:eastAsia="宋体" w:cs="Times New Roman"/>
                <w:sz w:val="18"/>
                <w:szCs w:val="18"/>
              </w:rPr>
              <w:t>IDT</w:t>
            </w:r>
          </w:p>
        </w:tc>
        <w:tc>
          <w:tcPr>
            <w:tcW w:w="1080" w:type="dxa"/>
            <w:gridSpan w:val="2"/>
            <w:vAlign w:val="center"/>
          </w:tcPr>
          <w:p w14:paraId="5BF9D0D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default" w:ascii="Times New Roman" w:hAnsi="Times New Roman" w:eastAsia="宋体" w:cs="Times New Roman"/>
                <w:sz w:val="18"/>
                <w:szCs w:val="18"/>
              </w:rPr>
            </w:pPr>
            <w:r>
              <w:rPr>
                <w:rFonts w:hint="eastAsia" w:eastAsia="宋体" w:cs="Times New Roman"/>
                <w:sz w:val="18"/>
                <w:szCs w:val="18"/>
                <w:lang w:eastAsia="zh-CN"/>
              </w:rPr>
              <w:t>□</w:t>
            </w:r>
            <w:r>
              <w:rPr>
                <w:rFonts w:hint="default" w:ascii="Times New Roman" w:hAnsi="Times New Roman" w:eastAsia="宋体" w:cs="Times New Roman"/>
                <w:sz w:val="18"/>
                <w:szCs w:val="18"/>
              </w:rPr>
              <w:t xml:space="preserve"> MOD</w:t>
            </w:r>
          </w:p>
        </w:tc>
        <w:tc>
          <w:tcPr>
            <w:tcW w:w="928" w:type="dxa"/>
            <w:vAlign w:val="center"/>
          </w:tcPr>
          <w:p w14:paraId="2D9B65D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default" w:ascii="Times New Roman" w:hAnsi="Times New Roman" w:eastAsia="宋体" w:cs="Times New Roman"/>
                <w:sz w:val="18"/>
                <w:szCs w:val="18"/>
              </w:rPr>
            </w:pPr>
            <w:r>
              <w:rPr>
                <w:rFonts w:hint="eastAsia" w:eastAsia="宋体" w:cs="Times New Roman"/>
                <w:sz w:val="18"/>
                <w:szCs w:val="18"/>
                <w:lang w:eastAsia="zh-CN"/>
              </w:rPr>
              <w:t>□</w:t>
            </w:r>
            <w:r>
              <w:rPr>
                <w:rFonts w:hint="default" w:ascii="Times New Roman" w:hAnsi="Times New Roman" w:eastAsia="宋体" w:cs="Times New Roman"/>
                <w:sz w:val="18"/>
                <w:szCs w:val="18"/>
              </w:rPr>
              <w:t xml:space="preserve"> NEQ</w:t>
            </w:r>
          </w:p>
        </w:tc>
        <w:tc>
          <w:tcPr>
            <w:tcW w:w="1843" w:type="dxa"/>
            <w:gridSpan w:val="2"/>
            <w:vAlign w:val="center"/>
          </w:tcPr>
          <w:p w14:paraId="69219D5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采标号</w:t>
            </w:r>
          </w:p>
        </w:tc>
        <w:tc>
          <w:tcPr>
            <w:tcW w:w="2644" w:type="dxa"/>
            <w:gridSpan w:val="2"/>
            <w:vAlign w:val="center"/>
          </w:tcPr>
          <w:p w14:paraId="20C344A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w:t>
            </w:r>
          </w:p>
        </w:tc>
      </w:tr>
      <w:tr w14:paraId="36D22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1673" w:type="dxa"/>
            <w:vAlign w:val="center"/>
          </w:tcPr>
          <w:p w14:paraId="7C1CC4B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国际标准名称（中文）</w:t>
            </w:r>
          </w:p>
        </w:tc>
        <w:tc>
          <w:tcPr>
            <w:tcW w:w="3580" w:type="dxa"/>
            <w:gridSpan w:val="4"/>
            <w:vAlign w:val="center"/>
          </w:tcPr>
          <w:p w14:paraId="521D326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w:t>
            </w:r>
          </w:p>
        </w:tc>
        <w:tc>
          <w:tcPr>
            <w:tcW w:w="1843" w:type="dxa"/>
            <w:gridSpan w:val="2"/>
            <w:vAlign w:val="center"/>
          </w:tcPr>
          <w:p w14:paraId="7FD631D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国际标准名称（英文）</w:t>
            </w:r>
          </w:p>
        </w:tc>
        <w:tc>
          <w:tcPr>
            <w:tcW w:w="2644" w:type="dxa"/>
            <w:gridSpan w:val="2"/>
            <w:vAlign w:val="center"/>
          </w:tcPr>
          <w:p w14:paraId="3D24BFB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w:t>
            </w:r>
          </w:p>
        </w:tc>
      </w:tr>
      <w:tr w14:paraId="313FD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1673" w:type="dxa"/>
            <w:vAlign w:val="center"/>
          </w:tcPr>
          <w:p w14:paraId="4714748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ICS分类号</w:t>
            </w:r>
          </w:p>
        </w:tc>
        <w:tc>
          <w:tcPr>
            <w:tcW w:w="3580" w:type="dxa"/>
            <w:gridSpan w:val="4"/>
            <w:vAlign w:val="center"/>
          </w:tcPr>
          <w:p w14:paraId="6A190DE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ICS 91.140.10</w:t>
            </w:r>
          </w:p>
        </w:tc>
        <w:tc>
          <w:tcPr>
            <w:tcW w:w="1843" w:type="dxa"/>
            <w:gridSpan w:val="2"/>
            <w:vAlign w:val="center"/>
          </w:tcPr>
          <w:p w14:paraId="39C5E28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中国标准分类号</w:t>
            </w:r>
          </w:p>
        </w:tc>
        <w:tc>
          <w:tcPr>
            <w:tcW w:w="2644" w:type="dxa"/>
            <w:gridSpan w:val="2"/>
            <w:vAlign w:val="center"/>
          </w:tcPr>
          <w:p w14:paraId="39E9D9E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CCS Q 83</w:t>
            </w:r>
          </w:p>
        </w:tc>
      </w:tr>
      <w:tr w14:paraId="6CDF3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1673" w:type="dxa"/>
            <w:vAlign w:val="center"/>
          </w:tcPr>
          <w:p w14:paraId="0476913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标准主要起草单位</w:t>
            </w:r>
          </w:p>
        </w:tc>
        <w:tc>
          <w:tcPr>
            <w:tcW w:w="3580" w:type="dxa"/>
            <w:gridSpan w:val="4"/>
            <w:vAlign w:val="center"/>
          </w:tcPr>
          <w:p w14:paraId="6C8C042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北京建筑材料检验研究院股份有限公司</w:t>
            </w:r>
          </w:p>
        </w:tc>
        <w:tc>
          <w:tcPr>
            <w:tcW w:w="1843" w:type="dxa"/>
            <w:gridSpan w:val="2"/>
            <w:vAlign w:val="center"/>
          </w:tcPr>
          <w:p w14:paraId="2625FF9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计划起止时间</w:t>
            </w:r>
          </w:p>
        </w:tc>
        <w:tc>
          <w:tcPr>
            <w:tcW w:w="2644" w:type="dxa"/>
            <w:gridSpan w:val="2"/>
            <w:vAlign w:val="center"/>
          </w:tcPr>
          <w:p w14:paraId="7ED5009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2026年6月</w:t>
            </w:r>
            <w:r>
              <w:rPr>
                <w:rFonts w:hint="eastAsia" w:eastAsia="宋体" w:cs="Times New Roman"/>
                <w:sz w:val="18"/>
                <w:szCs w:val="18"/>
                <w:lang w:val="en-US" w:eastAsia="zh-CN"/>
              </w:rPr>
              <w:t>1</w:t>
            </w:r>
            <w:r>
              <w:rPr>
                <w:rFonts w:hint="default" w:ascii="Times New Roman" w:hAnsi="Times New Roman" w:eastAsia="宋体" w:cs="Times New Roman"/>
                <w:sz w:val="18"/>
                <w:szCs w:val="18"/>
                <w:lang w:val="en-US" w:eastAsia="zh-CN"/>
              </w:rPr>
              <w:t>日-2027年</w:t>
            </w:r>
            <w:r>
              <w:rPr>
                <w:rFonts w:hint="eastAsia" w:eastAsia="宋体" w:cs="Times New Roman"/>
                <w:sz w:val="18"/>
                <w:szCs w:val="18"/>
                <w:lang w:val="en-US" w:eastAsia="zh-CN"/>
              </w:rPr>
              <w:t>6</w:t>
            </w:r>
            <w:r>
              <w:rPr>
                <w:rFonts w:hint="default" w:ascii="Times New Roman" w:hAnsi="Times New Roman" w:eastAsia="宋体" w:cs="Times New Roman"/>
                <w:sz w:val="18"/>
                <w:szCs w:val="18"/>
                <w:lang w:val="en-US" w:eastAsia="zh-CN"/>
              </w:rPr>
              <w:t>月</w:t>
            </w:r>
            <w:r>
              <w:rPr>
                <w:rFonts w:hint="eastAsia" w:eastAsia="宋体" w:cs="Times New Roman"/>
                <w:sz w:val="18"/>
                <w:szCs w:val="18"/>
                <w:lang w:val="en-US" w:eastAsia="zh-CN"/>
              </w:rPr>
              <w:t>1</w:t>
            </w:r>
            <w:r>
              <w:rPr>
                <w:rFonts w:hint="default" w:ascii="Times New Roman" w:hAnsi="Times New Roman" w:eastAsia="宋体" w:cs="Times New Roman"/>
                <w:sz w:val="18"/>
                <w:szCs w:val="18"/>
                <w:lang w:val="en-US" w:eastAsia="zh-CN"/>
              </w:rPr>
              <w:t>日</w:t>
            </w:r>
          </w:p>
        </w:tc>
      </w:tr>
      <w:tr w14:paraId="22016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1673" w:type="dxa"/>
            <w:vAlign w:val="center"/>
          </w:tcPr>
          <w:p w14:paraId="3C4C120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目的﹑意义或必</w:t>
            </w:r>
          </w:p>
          <w:p w14:paraId="2753390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要性</w:t>
            </w:r>
          </w:p>
        </w:tc>
        <w:tc>
          <w:tcPr>
            <w:tcW w:w="8067" w:type="dxa"/>
            <w:gridSpan w:val="8"/>
            <w:vAlign w:val="center"/>
          </w:tcPr>
          <w:p w14:paraId="60564DA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rightChars="0" w:firstLine="360" w:firstLineChars="200"/>
              <w:jc w:val="both"/>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供暖散热器是建筑供暖系统的</w:t>
            </w:r>
            <w:r>
              <w:rPr>
                <w:rFonts w:hint="eastAsia" w:ascii="Times New Roman" w:hAnsi="Times New Roman" w:eastAsia="宋体" w:cs="Times New Roman"/>
                <w:color w:val="auto"/>
                <w:kern w:val="2"/>
                <w:sz w:val="18"/>
                <w:szCs w:val="18"/>
                <w:lang w:val="en-US" w:eastAsia="zh-CN" w:bidi="ar-SA"/>
              </w:rPr>
              <w:t>末</w:t>
            </w:r>
            <w:r>
              <w:rPr>
                <w:rFonts w:hint="default" w:ascii="Times New Roman" w:hAnsi="Times New Roman" w:eastAsia="宋体" w:cs="Times New Roman"/>
                <w:color w:val="auto"/>
                <w:kern w:val="2"/>
                <w:sz w:val="18"/>
                <w:szCs w:val="18"/>
                <w:lang w:val="en-US" w:eastAsia="zh-CN" w:bidi="ar-SA"/>
              </w:rPr>
              <w:t>端设备，广泛应用于住宅、学校、办公楼宇及工业厂房等各类建筑，行业企业数量众多、产业规模持续扩大。</w:t>
            </w:r>
            <w:r>
              <w:rPr>
                <w:rFonts w:hint="eastAsia" w:ascii="Times New Roman" w:hAnsi="Times New Roman" w:eastAsia="宋体" w:cs="Times New Roman"/>
                <w:color w:val="auto"/>
                <w:kern w:val="2"/>
                <w:sz w:val="18"/>
                <w:szCs w:val="18"/>
                <w:lang w:val="en-US" w:eastAsia="zh-CN" w:bidi="ar-SA"/>
              </w:rPr>
              <w:t>我国是采暖大国，北方冬季采暖方式主要为集中供暖，而采暖末端以供暖散热器为主，今年来随着人们生活需求的提升，南方逐步开展分户供暖，加大了市场对供暖散热器的需求。</w:t>
            </w:r>
            <w:r>
              <w:rPr>
                <w:rFonts w:hint="default" w:ascii="Times New Roman" w:hAnsi="Times New Roman" w:eastAsia="宋体" w:cs="Times New Roman"/>
                <w:color w:val="auto"/>
                <w:kern w:val="2"/>
                <w:sz w:val="18"/>
                <w:szCs w:val="18"/>
                <w:lang w:val="en-US" w:eastAsia="zh-CN" w:bidi="ar-SA"/>
              </w:rPr>
              <w:t>据行业统计，2025年我国</w:t>
            </w:r>
            <w:r>
              <w:rPr>
                <w:rFonts w:hint="eastAsia" w:ascii="Times New Roman" w:hAnsi="Times New Roman" w:eastAsia="宋体" w:cs="Times New Roman"/>
                <w:color w:val="auto"/>
                <w:kern w:val="2"/>
                <w:sz w:val="18"/>
                <w:szCs w:val="18"/>
                <w:lang w:val="en-US" w:eastAsia="zh-CN" w:bidi="ar-SA"/>
              </w:rPr>
              <w:t>供暖散热器</w:t>
            </w:r>
            <w:r>
              <w:rPr>
                <w:rFonts w:hint="default" w:ascii="Times New Roman" w:hAnsi="Times New Roman" w:eastAsia="宋体" w:cs="Times New Roman"/>
                <w:color w:val="auto"/>
                <w:kern w:val="2"/>
                <w:sz w:val="18"/>
                <w:szCs w:val="18"/>
                <w:lang w:val="en-US" w:eastAsia="zh-CN" w:bidi="ar-SA"/>
              </w:rPr>
              <w:t>市场规模已达1200亿元，其中钢制</w:t>
            </w:r>
            <w:r>
              <w:rPr>
                <w:rFonts w:hint="eastAsia" w:ascii="Times New Roman" w:hAnsi="Times New Roman" w:eastAsia="宋体" w:cs="Times New Roman"/>
                <w:color w:val="auto"/>
                <w:kern w:val="2"/>
                <w:sz w:val="18"/>
                <w:szCs w:val="18"/>
                <w:lang w:val="en-US" w:eastAsia="zh-CN" w:bidi="ar-SA"/>
              </w:rPr>
              <w:t>散热器</w:t>
            </w:r>
            <w:r>
              <w:rPr>
                <w:rFonts w:hint="default" w:ascii="Times New Roman" w:hAnsi="Times New Roman" w:eastAsia="宋体" w:cs="Times New Roman"/>
                <w:color w:val="auto"/>
                <w:kern w:val="2"/>
                <w:sz w:val="18"/>
                <w:szCs w:val="18"/>
                <w:lang w:val="en-US" w:eastAsia="zh-CN" w:bidi="ar-SA"/>
              </w:rPr>
              <w:t>占比约45%，厂家数量增至5000余家，河北衡水冀州区作为亚洲最大的散热器生产基地，产能占比超过全国总量的35%。与此同时，</w:t>
            </w:r>
            <w:r>
              <w:rPr>
                <w:rFonts w:hint="eastAsia" w:ascii="Times New Roman" w:hAnsi="Times New Roman" w:eastAsia="宋体" w:cs="Times New Roman"/>
                <w:color w:val="auto"/>
                <w:kern w:val="2"/>
                <w:sz w:val="18"/>
                <w:szCs w:val="18"/>
                <w:lang w:val="en-US" w:eastAsia="zh-CN" w:bidi="ar-SA"/>
              </w:rPr>
              <w:t>供暖散热器行业在绿色转型方面也面临着以下问题：供暖散热器生产过程中机械化程度不高，部分产品生产仍采用手工焊接，人工喷涂等工艺，有些供暖散热器制造企业忽视生产车间环境问题，生产车间环境差、噪音大、粉尘多，制造过程中产生的污染物较多，与低碳经济、循环经济相距较远。</w:t>
            </w:r>
            <w:r>
              <w:rPr>
                <w:rFonts w:hint="default" w:ascii="Times New Roman" w:hAnsi="Times New Roman" w:eastAsia="宋体" w:cs="Times New Roman"/>
                <w:color w:val="auto"/>
                <w:kern w:val="2"/>
                <w:sz w:val="18"/>
                <w:szCs w:val="18"/>
                <w:lang w:val="en-US" w:eastAsia="zh-CN" w:bidi="ar-SA"/>
              </w:rPr>
              <w:t>在</w:t>
            </w:r>
            <w:r>
              <w:rPr>
                <w:rFonts w:hint="eastAsia" w:ascii="Times New Roman" w:hAnsi="Times New Roman" w:eastAsia="宋体" w:cs="Times New Roman"/>
                <w:color w:val="auto"/>
                <w:kern w:val="2"/>
                <w:sz w:val="18"/>
                <w:szCs w:val="18"/>
                <w:lang w:val="en-US" w:eastAsia="zh-CN" w:bidi="ar-SA"/>
              </w:rPr>
              <w:t>“</w:t>
            </w:r>
            <w:r>
              <w:rPr>
                <w:rFonts w:hint="default" w:ascii="Times New Roman" w:hAnsi="Times New Roman" w:eastAsia="宋体" w:cs="Times New Roman"/>
                <w:color w:val="auto"/>
                <w:kern w:val="2"/>
                <w:sz w:val="18"/>
                <w:szCs w:val="18"/>
                <w:lang w:val="en-US" w:eastAsia="zh-CN" w:bidi="ar-SA"/>
              </w:rPr>
              <w:t>碳达峰、碳中和</w:t>
            </w:r>
            <w:r>
              <w:rPr>
                <w:rFonts w:hint="eastAsia" w:ascii="Times New Roman" w:hAnsi="Times New Roman" w:eastAsia="宋体" w:cs="Times New Roman"/>
                <w:color w:val="auto"/>
                <w:kern w:val="2"/>
                <w:sz w:val="18"/>
                <w:szCs w:val="18"/>
                <w:lang w:val="en-US" w:eastAsia="zh-CN" w:bidi="ar-SA"/>
              </w:rPr>
              <w:t>”</w:t>
            </w:r>
            <w:r>
              <w:rPr>
                <w:rFonts w:hint="default" w:ascii="Times New Roman" w:hAnsi="Times New Roman" w:eastAsia="宋体" w:cs="Times New Roman"/>
                <w:color w:val="auto"/>
                <w:kern w:val="2"/>
                <w:sz w:val="18"/>
                <w:szCs w:val="18"/>
                <w:lang w:val="en-US" w:eastAsia="zh-CN" w:bidi="ar-SA"/>
              </w:rPr>
              <w:t>目标深入推进的背景下，</w:t>
            </w:r>
            <w:r>
              <w:rPr>
                <w:rFonts w:hint="eastAsia" w:ascii="Times New Roman" w:hAnsi="Times New Roman" w:eastAsia="宋体" w:cs="Times New Roman"/>
                <w:color w:val="auto"/>
                <w:kern w:val="2"/>
                <w:sz w:val="18"/>
                <w:szCs w:val="18"/>
                <w:lang w:val="en-US" w:eastAsia="zh-CN" w:bidi="ar-SA"/>
              </w:rPr>
              <w:t>供暖散热器</w:t>
            </w:r>
            <w:r>
              <w:rPr>
                <w:rFonts w:hint="default" w:ascii="Times New Roman" w:hAnsi="Times New Roman" w:eastAsia="宋体" w:cs="Times New Roman"/>
                <w:color w:val="auto"/>
                <w:kern w:val="2"/>
                <w:sz w:val="18"/>
                <w:szCs w:val="18"/>
                <w:lang w:val="en-US" w:eastAsia="zh-CN" w:bidi="ar-SA"/>
              </w:rPr>
              <w:t>行业正面临技术升级与绿色转型的双重机遇与挑战。</w:t>
            </w:r>
          </w:p>
          <w:p w14:paraId="1EAC068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rightChars="0" w:firstLine="360" w:firstLineChars="200"/>
              <w:jc w:val="both"/>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近年来，工业和信息化部大力推动绿色制造体系建设，已累计培育国家级绿色工厂8336家，产值占规模以上制造业总产值比重达22%。2025年12月31日，GB/T 36132—2025《绿色工厂评价通则》正式实施，这是该标准自2018年以来的首次修订，提出了</w:t>
            </w:r>
            <w:r>
              <w:rPr>
                <w:rFonts w:hint="eastAsia" w:ascii="Times New Roman" w:hAnsi="Times New Roman" w:eastAsia="宋体" w:cs="Times New Roman"/>
                <w:color w:val="auto"/>
                <w:kern w:val="2"/>
                <w:sz w:val="18"/>
                <w:szCs w:val="18"/>
                <w:lang w:val="en-US" w:eastAsia="zh-CN" w:bidi="ar-SA"/>
              </w:rPr>
              <w:t>“</w:t>
            </w:r>
            <w:r>
              <w:rPr>
                <w:rFonts w:hint="default" w:ascii="Times New Roman" w:hAnsi="Times New Roman" w:eastAsia="宋体" w:cs="Times New Roman"/>
                <w:color w:val="auto"/>
                <w:kern w:val="2"/>
                <w:sz w:val="18"/>
                <w:szCs w:val="18"/>
                <w:lang w:val="en-US" w:eastAsia="zh-CN" w:bidi="ar-SA"/>
              </w:rPr>
              <w:t>能源低碳化、资源高效化、生产洁净化、产品绿色化、用地集约化</w:t>
            </w:r>
            <w:r>
              <w:rPr>
                <w:rFonts w:hint="eastAsia" w:ascii="Times New Roman" w:hAnsi="Times New Roman" w:eastAsia="宋体" w:cs="Times New Roman"/>
                <w:color w:val="auto"/>
                <w:kern w:val="2"/>
                <w:sz w:val="18"/>
                <w:szCs w:val="18"/>
                <w:lang w:val="en-US" w:eastAsia="zh-CN" w:bidi="ar-SA"/>
              </w:rPr>
              <w:t>”</w:t>
            </w:r>
            <w:r>
              <w:rPr>
                <w:rFonts w:hint="default" w:ascii="Times New Roman" w:hAnsi="Times New Roman" w:eastAsia="宋体" w:cs="Times New Roman"/>
                <w:color w:val="auto"/>
                <w:kern w:val="2"/>
                <w:sz w:val="18"/>
                <w:szCs w:val="18"/>
                <w:lang w:val="en-US" w:eastAsia="zh-CN" w:bidi="ar-SA"/>
              </w:rPr>
              <w:t>的新五化指标体系，建立了基于</w:t>
            </w:r>
            <w:r>
              <w:rPr>
                <w:rFonts w:hint="eastAsia" w:ascii="Times New Roman" w:hAnsi="Times New Roman" w:eastAsia="宋体" w:cs="Times New Roman"/>
                <w:color w:val="auto"/>
                <w:kern w:val="2"/>
                <w:sz w:val="18"/>
                <w:szCs w:val="18"/>
                <w:lang w:val="en-US" w:eastAsia="zh-CN" w:bidi="ar-SA"/>
              </w:rPr>
              <w:t>“</w:t>
            </w:r>
            <w:r>
              <w:rPr>
                <w:rFonts w:hint="default" w:ascii="Times New Roman" w:hAnsi="Times New Roman" w:eastAsia="宋体" w:cs="Times New Roman"/>
                <w:color w:val="auto"/>
                <w:kern w:val="2"/>
                <w:sz w:val="18"/>
                <w:szCs w:val="18"/>
                <w:lang w:val="en-US" w:eastAsia="zh-CN" w:bidi="ar-SA"/>
              </w:rPr>
              <w:t>基准值</w:t>
            </w:r>
            <w:r>
              <w:rPr>
                <w:rFonts w:hint="eastAsia" w:ascii="Times New Roman" w:hAnsi="Times New Roman" w:eastAsia="宋体" w:cs="Times New Roman"/>
                <w:color w:val="auto"/>
                <w:kern w:val="2"/>
                <w:sz w:val="18"/>
                <w:szCs w:val="18"/>
                <w:lang w:val="en-US" w:eastAsia="zh-CN" w:bidi="ar-SA"/>
              </w:rPr>
              <w:t>”</w:t>
            </w:r>
            <w:r>
              <w:rPr>
                <w:rFonts w:hint="default" w:ascii="Times New Roman" w:hAnsi="Times New Roman" w:eastAsia="宋体" w:cs="Times New Roman"/>
                <w:color w:val="auto"/>
                <w:kern w:val="2"/>
                <w:sz w:val="18"/>
                <w:szCs w:val="18"/>
                <w:lang w:val="en-US" w:eastAsia="zh-CN" w:bidi="ar-SA"/>
              </w:rPr>
              <w:t>和</w:t>
            </w:r>
            <w:r>
              <w:rPr>
                <w:rFonts w:hint="eastAsia" w:ascii="Times New Roman" w:hAnsi="Times New Roman" w:eastAsia="宋体" w:cs="Times New Roman"/>
                <w:color w:val="auto"/>
                <w:kern w:val="2"/>
                <w:sz w:val="18"/>
                <w:szCs w:val="18"/>
                <w:lang w:val="en-US" w:eastAsia="zh-CN" w:bidi="ar-SA"/>
              </w:rPr>
              <w:t>“</w:t>
            </w:r>
            <w:r>
              <w:rPr>
                <w:rFonts w:hint="default" w:ascii="Times New Roman" w:hAnsi="Times New Roman" w:eastAsia="宋体" w:cs="Times New Roman"/>
                <w:color w:val="auto"/>
                <w:kern w:val="2"/>
                <w:sz w:val="18"/>
                <w:szCs w:val="18"/>
                <w:lang w:val="en-US" w:eastAsia="zh-CN" w:bidi="ar-SA"/>
              </w:rPr>
              <w:t>引领值</w:t>
            </w:r>
            <w:r>
              <w:rPr>
                <w:rFonts w:hint="eastAsia" w:ascii="Times New Roman" w:hAnsi="Times New Roman" w:eastAsia="宋体" w:cs="Times New Roman"/>
                <w:color w:val="auto"/>
                <w:kern w:val="2"/>
                <w:sz w:val="18"/>
                <w:szCs w:val="18"/>
                <w:lang w:val="en-US" w:eastAsia="zh-CN" w:bidi="ar-SA"/>
              </w:rPr>
              <w:t>”</w:t>
            </w:r>
            <w:r>
              <w:rPr>
                <w:rFonts w:hint="default" w:ascii="Times New Roman" w:hAnsi="Times New Roman" w:eastAsia="宋体" w:cs="Times New Roman"/>
                <w:color w:val="auto"/>
                <w:kern w:val="2"/>
                <w:sz w:val="18"/>
                <w:szCs w:val="18"/>
                <w:lang w:val="en-US" w:eastAsia="zh-CN" w:bidi="ar-SA"/>
              </w:rPr>
              <w:t>的量化评价方法，标志着我国绿色工厂培育工作从</w:t>
            </w:r>
            <w:r>
              <w:rPr>
                <w:rFonts w:hint="eastAsia" w:ascii="Times New Roman" w:hAnsi="Times New Roman" w:eastAsia="宋体" w:cs="Times New Roman"/>
                <w:color w:val="auto"/>
                <w:kern w:val="2"/>
                <w:sz w:val="18"/>
                <w:szCs w:val="18"/>
                <w:lang w:val="en-US" w:eastAsia="zh-CN" w:bidi="ar-SA"/>
              </w:rPr>
              <w:t>“</w:t>
            </w:r>
            <w:r>
              <w:rPr>
                <w:rFonts w:hint="default" w:ascii="Times New Roman" w:hAnsi="Times New Roman" w:eastAsia="宋体" w:cs="Times New Roman"/>
                <w:color w:val="auto"/>
                <w:kern w:val="2"/>
                <w:sz w:val="18"/>
                <w:szCs w:val="18"/>
                <w:lang w:val="en-US" w:eastAsia="zh-CN" w:bidi="ar-SA"/>
              </w:rPr>
              <w:t>框架搭建</w:t>
            </w:r>
            <w:r>
              <w:rPr>
                <w:rFonts w:hint="eastAsia" w:ascii="Times New Roman" w:hAnsi="Times New Roman" w:eastAsia="宋体" w:cs="Times New Roman"/>
                <w:color w:val="auto"/>
                <w:kern w:val="2"/>
                <w:sz w:val="18"/>
                <w:szCs w:val="18"/>
                <w:lang w:val="en-US" w:eastAsia="zh-CN" w:bidi="ar-SA"/>
              </w:rPr>
              <w:t>”</w:t>
            </w:r>
            <w:r>
              <w:rPr>
                <w:rFonts w:hint="default" w:ascii="Times New Roman" w:hAnsi="Times New Roman" w:eastAsia="宋体" w:cs="Times New Roman"/>
                <w:color w:val="auto"/>
                <w:kern w:val="2"/>
                <w:sz w:val="18"/>
                <w:szCs w:val="18"/>
                <w:lang w:val="en-US" w:eastAsia="zh-CN" w:bidi="ar-SA"/>
              </w:rPr>
              <w:t>迈向</w:t>
            </w:r>
            <w:r>
              <w:rPr>
                <w:rFonts w:hint="eastAsia" w:ascii="Times New Roman" w:hAnsi="Times New Roman" w:eastAsia="宋体" w:cs="Times New Roman"/>
                <w:color w:val="auto"/>
                <w:kern w:val="2"/>
                <w:sz w:val="18"/>
                <w:szCs w:val="18"/>
                <w:lang w:val="en-US" w:eastAsia="zh-CN" w:bidi="ar-SA"/>
              </w:rPr>
              <w:t>“</w:t>
            </w:r>
            <w:r>
              <w:rPr>
                <w:rFonts w:hint="default" w:ascii="Times New Roman" w:hAnsi="Times New Roman" w:eastAsia="宋体" w:cs="Times New Roman"/>
                <w:color w:val="auto"/>
                <w:kern w:val="2"/>
                <w:sz w:val="18"/>
                <w:szCs w:val="18"/>
                <w:lang w:val="en-US" w:eastAsia="zh-CN" w:bidi="ar-SA"/>
              </w:rPr>
              <w:t>精准导航</w:t>
            </w:r>
            <w:r>
              <w:rPr>
                <w:rFonts w:hint="eastAsia" w:ascii="Times New Roman" w:hAnsi="Times New Roman" w:eastAsia="宋体" w:cs="Times New Roman"/>
                <w:color w:val="auto"/>
                <w:kern w:val="2"/>
                <w:sz w:val="18"/>
                <w:szCs w:val="18"/>
                <w:lang w:val="en-US" w:eastAsia="zh-CN" w:bidi="ar-SA"/>
              </w:rPr>
              <w:t>”</w:t>
            </w:r>
            <w:r>
              <w:rPr>
                <w:rFonts w:hint="default" w:ascii="Times New Roman" w:hAnsi="Times New Roman" w:eastAsia="宋体" w:cs="Times New Roman"/>
                <w:color w:val="auto"/>
                <w:kern w:val="2"/>
                <w:sz w:val="18"/>
                <w:szCs w:val="18"/>
                <w:lang w:val="en-US" w:eastAsia="zh-CN" w:bidi="ar-SA"/>
              </w:rPr>
              <w:t>的新阶段。工信部明确提出</w:t>
            </w:r>
            <w:r>
              <w:rPr>
                <w:rFonts w:hint="eastAsia" w:ascii="Times New Roman" w:hAnsi="Times New Roman" w:eastAsia="宋体" w:cs="Times New Roman"/>
                <w:color w:val="auto"/>
                <w:kern w:val="2"/>
                <w:sz w:val="18"/>
                <w:szCs w:val="18"/>
                <w:lang w:val="en-US" w:eastAsia="zh-CN" w:bidi="ar-SA"/>
              </w:rPr>
              <w:t>“</w:t>
            </w:r>
            <w:r>
              <w:rPr>
                <w:rFonts w:hint="default" w:ascii="Times New Roman" w:hAnsi="Times New Roman" w:eastAsia="宋体" w:cs="Times New Roman"/>
                <w:color w:val="auto"/>
                <w:kern w:val="2"/>
                <w:sz w:val="18"/>
                <w:szCs w:val="18"/>
                <w:lang w:val="en-US" w:eastAsia="zh-CN" w:bidi="ar-SA"/>
              </w:rPr>
              <w:t>围绕节能降碳潜力大、产业绿色竞争力强的重点行业，制定分行业的细化评价标准</w:t>
            </w:r>
            <w:r>
              <w:rPr>
                <w:rFonts w:hint="eastAsia" w:ascii="Times New Roman" w:hAnsi="Times New Roman" w:eastAsia="宋体" w:cs="Times New Roman"/>
                <w:color w:val="auto"/>
                <w:kern w:val="2"/>
                <w:sz w:val="18"/>
                <w:szCs w:val="18"/>
                <w:lang w:val="en-US" w:eastAsia="zh-CN" w:bidi="ar-SA"/>
              </w:rPr>
              <w:t>”</w:t>
            </w:r>
            <w:r>
              <w:rPr>
                <w:rFonts w:hint="default" w:ascii="Times New Roman" w:hAnsi="Times New Roman" w:eastAsia="宋体" w:cs="Times New Roman"/>
                <w:color w:val="auto"/>
                <w:kern w:val="2"/>
                <w:sz w:val="18"/>
                <w:szCs w:val="18"/>
                <w:lang w:val="en-US" w:eastAsia="zh-CN" w:bidi="ar-SA"/>
              </w:rPr>
              <w:t>，形成层次清晰的</w:t>
            </w:r>
            <w:r>
              <w:rPr>
                <w:rFonts w:hint="eastAsia" w:ascii="Times New Roman" w:hAnsi="Times New Roman" w:eastAsia="宋体" w:cs="Times New Roman"/>
                <w:color w:val="auto"/>
                <w:kern w:val="2"/>
                <w:sz w:val="18"/>
                <w:szCs w:val="18"/>
                <w:lang w:val="en-US" w:eastAsia="zh-CN" w:bidi="ar-SA"/>
              </w:rPr>
              <w:t>“</w:t>
            </w:r>
            <w:r>
              <w:rPr>
                <w:rFonts w:hint="default" w:ascii="Times New Roman" w:hAnsi="Times New Roman" w:eastAsia="宋体" w:cs="Times New Roman"/>
                <w:color w:val="auto"/>
                <w:kern w:val="2"/>
                <w:sz w:val="18"/>
                <w:szCs w:val="18"/>
                <w:lang w:val="en-US" w:eastAsia="zh-CN" w:bidi="ar-SA"/>
              </w:rPr>
              <w:t>1+N</w:t>
            </w:r>
            <w:r>
              <w:rPr>
                <w:rFonts w:hint="eastAsia" w:ascii="Times New Roman" w:hAnsi="Times New Roman" w:eastAsia="宋体" w:cs="Times New Roman"/>
                <w:color w:val="auto"/>
                <w:kern w:val="2"/>
                <w:sz w:val="18"/>
                <w:szCs w:val="18"/>
                <w:lang w:val="en-US" w:eastAsia="zh-CN" w:bidi="ar-SA"/>
              </w:rPr>
              <w:t>”</w:t>
            </w:r>
            <w:r>
              <w:rPr>
                <w:rFonts w:hint="default" w:ascii="Times New Roman" w:hAnsi="Times New Roman" w:eastAsia="宋体" w:cs="Times New Roman"/>
                <w:color w:val="auto"/>
                <w:kern w:val="2"/>
                <w:sz w:val="18"/>
                <w:szCs w:val="18"/>
                <w:lang w:val="en-US" w:eastAsia="zh-CN" w:bidi="ar-SA"/>
              </w:rPr>
              <w:t>标准体系。</w:t>
            </w:r>
          </w:p>
          <w:p w14:paraId="658A113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rightChars="0" w:firstLine="360" w:firstLineChars="200"/>
              <w:jc w:val="both"/>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然而，供暖散热器行业目前尚无专门的绿色工厂评价标准。这一缺口导致行业企业在开展绿色工厂创建和自评价时，缺乏行业针对性的评价指标和参考基准值，只能参照通用通则，难以准确反映供暖散热器制造工艺的行业特性（如铸造、焊接、静电喷涂等工序的能耗特征和污染物排放特征），也给政府主管部门开展行业绿色工厂遴选和动态管理带来不便。本标准的立项制定，有助于填补上述标准空白，为供暖散热器行业企业创建绿色工厂提供统一、规范的技术依据，推动行业从绿色产品认证向绿色工厂认证延伸覆盖，形成</w:t>
            </w:r>
            <w:r>
              <w:rPr>
                <w:rFonts w:hint="eastAsia" w:ascii="Times New Roman" w:hAnsi="Times New Roman" w:eastAsia="宋体" w:cs="Times New Roman"/>
                <w:color w:val="auto"/>
                <w:kern w:val="2"/>
                <w:sz w:val="18"/>
                <w:szCs w:val="18"/>
                <w:lang w:val="en-US" w:eastAsia="zh-CN" w:bidi="ar-SA"/>
              </w:rPr>
              <w:t>“</w:t>
            </w:r>
            <w:r>
              <w:rPr>
                <w:rFonts w:hint="default" w:ascii="Times New Roman" w:hAnsi="Times New Roman" w:eastAsia="宋体" w:cs="Times New Roman"/>
                <w:color w:val="auto"/>
                <w:kern w:val="2"/>
                <w:sz w:val="18"/>
                <w:szCs w:val="18"/>
                <w:lang w:val="en-US" w:eastAsia="zh-CN" w:bidi="ar-SA"/>
              </w:rPr>
              <w:t>产品绿色+工厂绿色</w:t>
            </w:r>
            <w:r>
              <w:rPr>
                <w:rFonts w:hint="eastAsia" w:ascii="Times New Roman" w:hAnsi="Times New Roman" w:eastAsia="宋体" w:cs="Times New Roman"/>
                <w:color w:val="auto"/>
                <w:kern w:val="2"/>
                <w:sz w:val="18"/>
                <w:szCs w:val="18"/>
                <w:lang w:val="en-US" w:eastAsia="zh-CN" w:bidi="ar-SA"/>
              </w:rPr>
              <w:t>”</w:t>
            </w:r>
            <w:r>
              <w:rPr>
                <w:rFonts w:hint="default" w:ascii="Times New Roman" w:hAnsi="Times New Roman" w:eastAsia="宋体" w:cs="Times New Roman"/>
                <w:color w:val="auto"/>
                <w:kern w:val="2"/>
                <w:sz w:val="18"/>
                <w:szCs w:val="18"/>
                <w:lang w:val="en-US" w:eastAsia="zh-CN" w:bidi="ar-SA"/>
              </w:rPr>
              <w:t>的完整评价链条，促进供暖散热器行业整体向高效、清洁、低碳、循环的方向转型升级，支撑国家绿色制造体系建设的深入推进。本标准涉及供暖散热器行业绿色工厂评价的总体要求、评价指标体系、评价方法及判定规则等方面，旨在为该行业企业创建绿色工厂提供系统性的评价依据和技术指引，解决当前供暖散热器行业在绿色工厂建设中缺乏行业针对性评价标准的突出问题。</w:t>
            </w:r>
          </w:p>
        </w:tc>
      </w:tr>
      <w:tr w14:paraId="03BCF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1673" w:type="dxa"/>
            <w:vAlign w:val="center"/>
          </w:tcPr>
          <w:p w14:paraId="6F9841F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范围和主要</w:t>
            </w:r>
          </w:p>
          <w:p w14:paraId="50231D3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技术内容</w:t>
            </w:r>
          </w:p>
        </w:tc>
        <w:tc>
          <w:tcPr>
            <w:tcW w:w="8067" w:type="dxa"/>
            <w:gridSpan w:val="8"/>
            <w:vAlign w:val="center"/>
          </w:tcPr>
          <w:p w14:paraId="4166E68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1、范围</w:t>
            </w:r>
          </w:p>
          <w:p w14:paraId="342BD9F0">
            <w:pPr>
              <w:pStyle w:val="11"/>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本文件规定了供暖散热器行业绿色工厂评价的评价指标体系和要求、评价结果。</w:t>
            </w:r>
            <w:r>
              <w:rPr>
                <w:rFonts w:hint="eastAsia" w:ascii="Times New Roman" w:hAnsi="Times New Roman" w:eastAsia="宋体" w:cs="Times New Roman"/>
                <w:color w:val="auto"/>
                <w:kern w:val="2"/>
                <w:sz w:val="18"/>
                <w:szCs w:val="18"/>
                <w:lang w:val="en-US" w:eastAsia="zh-CN" w:bidi="ar-SA"/>
              </w:rPr>
              <w:t>规定了适用于生产热媒为水的铸铁散热器、压铸铝合金散热器、钢制采暖散热器、复合型供暖散热器等供暖散热器生产企业的绿色工厂创建与评价。</w:t>
            </w:r>
          </w:p>
          <w:p w14:paraId="12B29156">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rightChars="0"/>
              <w:jc w:val="left"/>
              <w:textAlignment w:val="auto"/>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2、主要技术内容</w:t>
            </w:r>
          </w:p>
          <w:p w14:paraId="5061AB4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rightChars="0" w:firstLine="360" w:firstLineChars="200"/>
              <w:jc w:val="both"/>
              <w:textAlignment w:val="auto"/>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本标准内容包括：供暖散热器行业绿色工厂评价的范围、规范性引用文件、术语和定义、评价指标体系和要求、评价指标评分规则、评价结果。</w:t>
            </w:r>
          </w:p>
          <w:p w14:paraId="0823B411">
            <w:pPr>
              <w:pStyle w:val="5"/>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ind w:right="0" w:rightChars="0" w:firstLine="360" w:firstLineChars="200"/>
              <w:textAlignment w:val="auto"/>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范围：规定了标准的主体内容和适用范围。</w:t>
            </w:r>
          </w:p>
          <w:p w14:paraId="1C99349E">
            <w:pPr>
              <w:pStyle w:val="5"/>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ind w:right="0" w:rightChars="0" w:firstLine="360" w:firstLineChars="200"/>
              <w:textAlignment w:val="auto"/>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规范性引用文件：规定了本标准的引用文件。</w:t>
            </w:r>
          </w:p>
          <w:p w14:paraId="4A25057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rightChars="0" w:firstLine="360" w:firstLineChars="200"/>
              <w:textAlignment w:val="auto"/>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2）术语和定义：规定了本标准设计的相关术语及定义。</w:t>
            </w:r>
          </w:p>
          <w:p w14:paraId="32976A9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rightChars="0" w:firstLine="360" w:firstLineChars="200"/>
              <w:textAlignment w:val="auto"/>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3）评价指标体系和要求：规定了供暖散热器行业绿色工厂评价的基本要求和评价指标要求。</w:t>
            </w:r>
          </w:p>
          <w:p w14:paraId="21DAB06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rightChars="0" w:firstLine="360" w:firstLineChars="200"/>
              <w:jc w:val="both"/>
              <w:textAlignment w:val="auto"/>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评价要求部分，设置了基本要求、评价指标要求两类要求：基本要求涵盖企业的安全、质量、节能、环保、法律法规满足程度、工厂管理相关工作职责、绿色低碳发展中长期规划及年度量化目标制定及管理体系相关要求。</w:t>
            </w:r>
          </w:p>
          <w:p w14:paraId="5A36501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rightChars="0" w:firstLine="360" w:firstLineChars="200"/>
              <w:textAlignment w:val="auto"/>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评价指标要求由五个一级指标组成，主要规定了企业在能源低碳化、</w:t>
            </w:r>
            <w:r>
              <w:rPr>
                <w:rFonts w:hint="default" w:ascii="Times New Roman" w:hAnsi="Times New Roman" w:eastAsia="宋体" w:cs="Times New Roman"/>
                <w:color w:val="auto"/>
                <w:kern w:val="2"/>
                <w:sz w:val="18"/>
                <w:szCs w:val="18"/>
                <w:lang w:val="en-US" w:eastAsia="zh-CN" w:bidi="ar-SA"/>
              </w:rPr>
              <w:t>资源高效化</w:t>
            </w:r>
            <w:r>
              <w:rPr>
                <w:rFonts w:hint="eastAsia" w:ascii="Times New Roman" w:hAnsi="Times New Roman" w:eastAsia="宋体" w:cs="Times New Roman"/>
                <w:color w:val="auto"/>
                <w:kern w:val="2"/>
                <w:sz w:val="18"/>
                <w:szCs w:val="18"/>
                <w:lang w:val="en-US" w:eastAsia="zh-CN" w:bidi="ar-SA"/>
              </w:rPr>
              <w:t>、生产清洁化、</w:t>
            </w:r>
            <w:r>
              <w:rPr>
                <w:rFonts w:hint="default" w:ascii="Times New Roman" w:hAnsi="Times New Roman" w:eastAsia="宋体" w:cs="Times New Roman"/>
                <w:color w:val="auto"/>
                <w:kern w:val="2"/>
                <w:sz w:val="18"/>
                <w:szCs w:val="18"/>
                <w:lang w:val="en-US" w:eastAsia="zh-CN" w:bidi="ar-SA"/>
              </w:rPr>
              <w:t>产品绿色化</w:t>
            </w:r>
            <w:r>
              <w:rPr>
                <w:rFonts w:hint="eastAsia" w:ascii="Times New Roman" w:hAnsi="Times New Roman" w:eastAsia="宋体" w:cs="Times New Roman"/>
                <w:color w:val="auto"/>
                <w:kern w:val="2"/>
                <w:sz w:val="18"/>
                <w:szCs w:val="18"/>
                <w:lang w:val="en-US" w:eastAsia="zh-CN" w:bidi="ar-SA"/>
              </w:rPr>
              <w:t>、用地集约化等方面绩效计算的数据采集与计算过程要求，具体指标如下：</w:t>
            </w:r>
          </w:p>
          <w:p w14:paraId="645B0E9D">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rightChars="0" w:firstLine="360" w:firstLineChars="200"/>
              <w:jc w:val="both"/>
              <w:textAlignment w:val="auto"/>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（1）</w:t>
            </w:r>
            <w:r>
              <w:rPr>
                <w:rFonts w:hint="default" w:ascii="Times New Roman" w:hAnsi="Times New Roman" w:eastAsia="宋体" w:cs="Times New Roman"/>
                <w:color w:val="auto"/>
                <w:kern w:val="2"/>
                <w:sz w:val="18"/>
                <w:szCs w:val="18"/>
                <w:lang w:val="en-US" w:eastAsia="zh-CN" w:bidi="ar-SA"/>
              </w:rPr>
              <w:t>能源低碳化</w:t>
            </w:r>
            <w:r>
              <w:rPr>
                <w:rFonts w:hint="eastAsia" w:ascii="Times New Roman" w:hAnsi="Times New Roman" w:eastAsia="宋体" w:cs="Times New Roman"/>
                <w:color w:val="auto"/>
                <w:kern w:val="2"/>
                <w:sz w:val="18"/>
                <w:szCs w:val="18"/>
                <w:lang w:val="en-US" w:eastAsia="zh-CN" w:bidi="ar-SA"/>
              </w:rPr>
              <w:t>，包含四个二级指标，分别为：</w:t>
            </w:r>
            <w:r>
              <w:rPr>
                <w:rFonts w:hint="default" w:ascii="Times New Roman" w:hAnsi="Times New Roman" w:eastAsia="宋体" w:cs="Times New Roman"/>
                <w:color w:val="auto"/>
                <w:kern w:val="2"/>
                <w:sz w:val="18"/>
                <w:szCs w:val="18"/>
                <w:lang w:val="en-US" w:eastAsia="zh-CN" w:bidi="ar-SA"/>
              </w:rPr>
              <w:t>能源消耗强度</w:t>
            </w:r>
            <w:r>
              <w:rPr>
                <w:rFonts w:hint="eastAsia" w:ascii="Times New Roman" w:hAnsi="Times New Roman" w:eastAsia="宋体" w:cs="Times New Roman"/>
                <w:color w:val="auto"/>
                <w:kern w:val="2"/>
                <w:sz w:val="18"/>
                <w:szCs w:val="18"/>
                <w:lang w:val="en-US" w:eastAsia="zh-CN" w:bidi="ar-SA"/>
              </w:rPr>
              <w:t>、</w:t>
            </w:r>
            <w:r>
              <w:rPr>
                <w:rFonts w:hint="default" w:ascii="Times New Roman" w:hAnsi="Times New Roman" w:eastAsia="宋体" w:cs="Times New Roman"/>
                <w:color w:val="auto"/>
                <w:kern w:val="2"/>
                <w:sz w:val="18"/>
                <w:szCs w:val="18"/>
                <w:lang w:val="en-US" w:eastAsia="zh-CN" w:bidi="ar-SA"/>
              </w:rPr>
              <w:t>碳排放强度</w:t>
            </w:r>
            <w:r>
              <w:rPr>
                <w:rFonts w:hint="eastAsia" w:ascii="Times New Roman" w:hAnsi="Times New Roman" w:eastAsia="宋体" w:cs="Times New Roman"/>
                <w:color w:val="auto"/>
                <w:kern w:val="2"/>
                <w:sz w:val="18"/>
                <w:szCs w:val="18"/>
                <w:lang w:val="en-US" w:eastAsia="zh-CN" w:bidi="ar-SA"/>
              </w:rPr>
              <w:t>、</w:t>
            </w:r>
            <w:r>
              <w:rPr>
                <w:rFonts w:hint="default" w:ascii="Times New Roman" w:hAnsi="Times New Roman" w:eastAsia="宋体" w:cs="Times New Roman"/>
                <w:color w:val="auto"/>
                <w:kern w:val="2"/>
                <w:sz w:val="18"/>
                <w:szCs w:val="18"/>
                <w:lang w:val="en-US" w:eastAsia="zh-CN" w:bidi="ar-SA"/>
              </w:rPr>
              <w:t>可再生能源利用率</w:t>
            </w:r>
            <w:r>
              <w:rPr>
                <w:rFonts w:hint="eastAsia" w:ascii="Times New Roman" w:hAnsi="Times New Roman" w:eastAsia="宋体" w:cs="Times New Roman"/>
                <w:color w:val="auto"/>
                <w:kern w:val="2"/>
                <w:sz w:val="18"/>
                <w:szCs w:val="18"/>
                <w:lang w:val="en-US" w:eastAsia="zh-CN" w:bidi="ar-SA"/>
              </w:rPr>
              <w:t>、</w:t>
            </w:r>
            <w:r>
              <w:rPr>
                <w:rFonts w:hint="default" w:ascii="Times New Roman" w:hAnsi="Times New Roman" w:eastAsia="宋体" w:cs="Times New Roman"/>
                <w:color w:val="auto"/>
                <w:kern w:val="2"/>
                <w:sz w:val="18"/>
                <w:szCs w:val="18"/>
                <w:lang w:val="en-US" w:eastAsia="zh-CN" w:bidi="ar-SA"/>
              </w:rPr>
              <w:t>能碳管理系统平台功能符合数量</w:t>
            </w:r>
            <w:r>
              <w:rPr>
                <w:rFonts w:hint="eastAsia" w:ascii="Times New Roman" w:hAnsi="Times New Roman" w:eastAsia="宋体" w:cs="Times New Roman"/>
                <w:color w:val="auto"/>
                <w:kern w:val="2"/>
                <w:sz w:val="18"/>
                <w:szCs w:val="18"/>
                <w:lang w:val="en-US" w:eastAsia="zh-CN" w:bidi="ar-SA"/>
              </w:rPr>
              <w:t>。</w:t>
            </w:r>
            <w:r>
              <w:rPr>
                <w:rFonts w:hint="eastAsia" w:ascii="Times New Roman" w:hAnsi="Times New Roman" w:eastAsia="宋体" w:cs="Times New Roman"/>
                <w:color w:val="auto"/>
                <w:kern w:val="2"/>
                <w:sz w:val="18"/>
                <w:szCs w:val="18"/>
                <w:lang w:val="en-US" w:eastAsia="zh-CN" w:bidi="ar-SA"/>
              </w:rPr>
              <w:t>（2）</w:t>
            </w:r>
            <w:r>
              <w:rPr>
                <w:rFonts w:hint="default" w:ascii="Times New Roman" w:hAnsi="Times New Roman" w:eastAsia="宋体" w:cs="Times New Roman"/>
                <w:color w:val="auto"/>
                <w:kern w:val="2"/>
                <w:sz w:val="18"/>
                <w:szCs w:val="18"/>
                <w:lang w:val="en-US" w:eastAsia="zh-CN" w:bidi="ar-SA"/>
              </w:rPr>
              <w:t>资源高效化</w:t>
            </w:r>
            <w:r>
              <w:rPr>
                <w:rFonts w:hint="eastAsia" w:ascii="Times New Roman" w:hAnsi="Times New Roman" w:eastAsia="宋体" w:cs="Times New Roman"/>
                <w:color w:val="auto"/>
                <w:kern w:val="2"/>
                <w:sz w:val="18"/>
                <w:szCs w:val="18"/>
                <w:lang w:val="en-US" w:eastAsia="zh-CN" w:bidi="ar-SA"/>
              </w:rPr>
              <w:t>，包含两个二级指标，分别为</w:t>
            </w:r>
            <w:r>
              <w:rPr>
                <w:rFonts w:hint="default" w:ascii="Times New Roman" w:hAnsi="Times New Roman" w:eastAsia="宋体" w:cs="Times New Roman"/>
                <w:color w:val="auto"/>
                <w:kern w:val="2"/>
                <w:sz w:val="18"/>
                <w:szCs w:val="18"/>
                <w:lang w:val="en-US" w:eastAsia="zh-CN" w:bidi="ar-SA"/>
              </w:rPr>
              <w:t>工业用水重复利用率</w:t>
            </w:r>
            <w:r>
              <w:rPr>
                <w:rFonts w:hint="eastAsia" w:ascii="Times New Roman" w:hAnsi="Times New Roman" w:eastAsia="宋体" w:cs="Times New Roman"/>
                <w:color w:val="auto"/>
                <w:kern w:val="2"/>
                <w:sz w:val="18"/>
                <w:szCs w:val="18"/>
                <w:lang w:val="en-US" w:eastAsia="zh-CN" w:bidi="ar-SA"/>
              </w:rPr>
              <w:t>、</w:t>
            </w:r>
            <w:r>
              <w:rPr>
                <w:rFonts w:hint="default" w:ascii="Times New Roman" w:hAnsi="Times New Roman" w:eastAsia="宋体" w:cs="Times New Roman"/>
                <w:color w:val="auto"/>
                <w:kern w:val="2"/>
                <w:sz w:val="18"/>
                <w:szCs w:val="18"/>
                <w:lang w:val="en-US" w:eastAsia="zh-CN" w:bidi="ar-SA"/>
              </w:rPr>
              <w:t>一般工业固体废物综合利用率</w:t>
            </w:r>
            <w:r>
              <w:rPr>
                <w:rFonts w:hint="eastAsia" w:ascii="Times New Roman" w:hAnsi="Times New Roman" w:eastAsia="宋体" w:cs="Times New Roman"/>
                <w:color w:val="auto"/>
                <w:kern w:val="2"/>
                <w:sz w:val="18"/>
                <w:szCs w:val="18"/>
                <w:lang w:val="en-US" w:eastAsia="zh-CN" w:bidi="ar-SA"/>
              </w:rPr>
              <w:t>；（3）</w:t>
            </w:r>
            <w:r>
              <w:rPr>
                <w:rFonts w:hint="default" w:ascii="Times New Roman" w:hAnsi="Times New Roman" w:eastAsia="宋体" w:cs="Times New Roman"/>
                <w:color w:val="auto"/>
                <w:kern w:val="2"/>
                <w:sz w:val="18"/>
                <w:szCs w:val="18"/>
                <w:lang w:val="en-US" w:eastAsia="zh-CN" w:bidi="ar-SA"/>
              </w:rPr>
              <w:t>生产洁净化</w:t>
            </w:r>
            <w:r>
              <w:rPr>
                <w:rFonts w:hint="eastAsia" w:ascii="Times New Roman" w:hAnsi="Times New Roman" w:eastAsia="宋体" w:cs="Times New Roman"/>
                <w:color w:val="auto"/>
                <w:kern w:val="2"/>
                <w:sz w:val="18"/>
                <w:szCs w:val="18"/>
                <w:lang w:val="en-US" w:eastAsia="zh-CN" w:bidi="ar-SA"/>
              </w:rPr>
              <w:t>，包含三个二级指标，分别为</w:t>
            </w:r>
            <w:r>
              <w:rPr>
                <w:rFonts w:hint="default" w:ascii="Times New Roman" w:hAnsi="Times New Roman" w:eastAsia="宋体" w:cs="Times New Roman"/>
                <w:color w:val="auto"/>
                <w:kern w:val="2"/>
                <w:sz w:val="18"/>
                <w:szCs w:val="18"/>
                <w:lang w:val="en-US" w:eastAsia="zh-CN" w:bidi="ar-SA"/>
              </w:rPr>
              <w:t>生产工艺和设备先进性</w:t>
            </w:r>
            <w:r>
              <w:rPr>
                <w:rFonts w:hint="eastAsia" w:ascii="Times New Roman" w:hAnsi="Times New Roman" w:eastAsia="宋体" w:cs="Times New Roman"/>
                <w:color w:val="auto"/>
                <w:kern w:val="2"/>
                <w:sz w:val="18"/>
                <w:szCs w:val="18"/>
                <w:lang w:val="en-US" w:eastAsia="zh-CN" w:bidi="ar-SA"/>
              </w:rPr>
              <w:t>、</w:t>
            </w:r>
            <w:r>
              <w:rPr>
                <w:rFonts w:hint="default" w:ascii="Times New Roman" w:hAnsi="Times New Roman" w:eastAsia="宋体" w:cs="Times New Roman"/>
                <w:color w:val="auto"/>
                <w:kern w:val="2"/>
                <w:sz w:val="18"/>
                <w:szCs w:val="18"/>
                <w:lang w:val="en-US" w:eastAsia="zh-CN" w:bidi="ar-SA"/>
              </w:rPr>
              <w:t>绿色低碳改造升级</w:t>
            </w:r>
            <w:r>
              <w:rPr>
                <w:rFonts w:hint="eastAsia" w:ascii="Times New Roman" w:hAnsi="Times New Roman" w:eastAsia="宋体" w:cs="Times New Roman"/>
                <w:color w:val="auto"/>
                <w:kern w:val="2"/>
                <w:sz w:val="18"/>
                <w:szCs w:val="18"/>
                <w:lang w:val="en-US" w:eastAsia="zh-CN" w:bidi="ar-SA"/>
              </w:rPr>
              <w:t>、</w:t>
            </w:r>
            <w:bookmarkStart w:id="0" w:name="OLE_LINK7"/>
            <w:r>
              <w:rPr>
                <w:rFonts w:hint="default" w:ascii="Times New Roman" w:hAnsi="Times New Roman" w:eastAsia="宋体" w:cs="Times New Roman"/>
                <w:color w:val="auto"/>
                <w:kern w:val="2"/>
                <w:sz w:val="18"/>
                <w:szCs w:val="18"/>
                <w:lang w:val="en-US" w:eastAsia="zh-CN" w:bidi="ar-SA"/>
              </w:rPr>
              <w:t>主要污染物排放强度</w:t>
            </w:r>
            <w:bookmarkEnd w:id="0"/>
            <w:r>
              <w:rPr>
                <w:rFonts w:hint="eastAsia" w:ascii="Times New Roman" w:hAnsi="Times New Roman" w:eastAsia="宋体" w:cs="Times New Roman"/>
                <w:color w:val="auto"/>
                <w:kern w:val="2"/>
                <w:sz w:val="18"/>
                <w:szCs w:val="18"/>
                <w:lang w:val="en-US" w:eastAsia="zh-CN" w:bidi="ar-SA"/>
              </w:rPr>
              <w:t>。</w:t>
            </w:r>
            <w:r>
              <w:rPr>
                <w:rFonts w:hint="eastAsia" w:ascii="Times New Roman" w:hAnsi="Times New Roman" w:eastAsia="宋体" w:cs="Times New Roman"/>
                <w:color w:val="auto"/>
                <w:kern w:val="2"/>
                <w:sz w:val="18"/>
                <w:szCs w:val="18"/>
                <w:lang w:val="en-US" w:eastAsia="zh-CN" w:bidi="ar-SA"/>
              </w:rPr>
              <w:t>（4）</w:t>
            </w:r>
            <w:r>
              <w:rPr>
                <w:rFonts w:hint="default" w:ascii="Times New Roman" w:hAnsi="Times New Roman" w:eastAsia="宋体" w:cs="Times New Roman"/>
                <w:color w:val="auto"/>
                <w:kern w:val="2"/>
                <w:sz w:val="18"/>
                <w:szCs w:val="18"/>
                <w:lang w:val="en-US" w:eastAsia="zh-CN" w:bidi="ar-SA"/>
              </w:rPr>
              <w:t>产品绿色化</w:t>
            </w:r>
            <w:r>
              <w:rPr>
                <w:rFonts w:hint="eastAsia" w:ascii="Times New Roman" w:hAnsi="Times New Roman" w:eastAsia="宋体" w:cs="Times New Roman"/>
                <w:color w:val="auto"/>
                <w:kern w:val="2"/>
                <w:sz w:val="18"/>
                <w:szCs w:val="18"/>
                <w:lang w:val="en-US" w:eastAsia="zh-CN" w:bidi="ar-SA"/>
              </w:rPr>
              <w:t>，包含三个二级指标，分别为绿色设计、</w:t>
            </w:r>
            <w:r>
              <w:rPr>
                <w:rFonts w:hint="default" w:ascii="Times New Roman" w:hAnsi="Times New Roman" w:eastAsia="宋体" w:cs="Times New Roman"/>
                <w:color w:val="auto"/>
                <w:kern w:val="2"/>
                <w:sz w:val="18"/>
                <w:szCs w:val="18"/>
                <w:lang w:val="en-US" w:eastAsia="zh-CN" w:bidi="ar-SA"/>
              </w:rPr>
              <w:t>产品碳足迹</w:t>
            </w:r>
            <w:r>
              <w:rPr>
                <w:rFonts w:hint="eastAsia" w:ascii="Times New Roman" w:hAnsi="Times New Roman" w:eastAsia="宋体" w:cs="Times New Roman"/>
                <w:color w:val="auto"/>
                <w:kern w:val="2"/>
                <w:sz w:val="18"/>
                <w:szCs w:val="18"/>
                <w:lang w:val="en-US" w:eastAsia="zh-CN" w:bidi="ar-SA"/>
              </w:rPr>
              <w:t>、绿色产品</w:t>
            </w:r>
            <w:r>
              <w:rPr>
                <w:rFonts w:hint="eastAsia" w:ascii="Times New Roman" w:hAnsi="Times New Roman" w:eastAsia="宋体" w:cs="Times New Roman"/>
                <w:color w:val="auto"/>
                <w:kern w:val="2"/>
                <w:sz w:val="18"/>
                <w:szCs w:val="18"/>
                <w:lang w:val="en-US" w:eastAsia="zh-CN" w:bidi="ar-SA"/>
              </w:rPr>
              <w:t>。（5）</w:t>
            </w:r>
            <w:r>
              <w:rPr>
                <w:rFonts w:hint="default" w:ascii="Times New Roman" w:hAnsi="Times New Roman" w:eastAsia="宋体" w:cs="Times New Roman"/>
                <w:color w:val="auto"/>
                <w:kern w:val="2"/>
                <w:sz w:val="18"/>
                <w:szCs w:val="18"/>
                <w:lang w:val="en-US" w:eastAsia="zh-CN" w:bidi="ar-SA"/>
              </w:rPr>
              <w:t>用地集约化</w:t>
            </w:r>
            <w:r>
              <w:rPr>
                <w:rFonts w:hint="eastAsia" w:ascii="Times New Roman" w:hAnsi="Times New Roman" w:eastAsia="宋体" w:cs="Times New Roman"/>
                <w:color w:val="auto"/>
                <w:kern w:val="2"/>
                <w:sz w:val="18"/>
                <w:szCs w:val="18"/>
                <w:lang w:val="en-US" w:eastAsia="zh-CN" w:bidi="ar-SA"/>
              </w:rPr>
              <w:t>，包含一个二级指标，</w:t>
            </w:r>
            <w:r>
              <w:rPr>
                <w:rFonts w:hint="default" w:ascii="Times New Roman" w:hAnsi="Times New Roman" w:eastAsia="宋体" w:cs="Times New Roman"/>
                <w:color w:val="auto"/>
                <w:kern w:val="2"/>
                <w:sz w:val="18"/>
                <w:szCs w:val="18"/>
                <w:lang w:val="en-US" w:eastAsia="zh-CN" w:bidi="ar-SA"/>
              </w:rPr>
              <w:t>土地产出率</w:t>
            </w:r>
            <w:r>
              <w:rPr>
                <w:rFonts w:hint="eastAsia" w:ascii="Times New Roman" w:hAnsi="Times New Roman" w:eastAsia="宋体" w:cs="Times New Roman"/>
                <w:color w:val="auto"/>
                <w:kern w:val="2"/>
                <w:sz w:val="18"/>
                <w:szCs w:val="18"/>
                <w:lang w:val="en-US" w:eastAsia="zh-CN" w:bidi="ar-SA"/>
              </w:rPr>
              <w:t>。</w:t>
            </w:r>
          </w:p>
          <w:p w14:paraId="5498A63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rightChars="0" w:firstLine="360" w:firstLineChars="200"/>
              <w:textAlignment w:val="auto"/>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4）评价指标评分规则：规定了供暖散热器行业绿色工厂评价工作的评分规则。</w:t>
            </w:r>
          </w:p>
          <w:p w14:paraId="415D07E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rightChars="0" w:firstLine="360" w:firstLineChars="200"/>
              <w:textAlignment w:val="auto"/>
              <w:rPr>
                <w:rFonts w:hint="default"/>
              </w:rPr>
            </w:pPr>
            <w:r>
              <w:rPr>
                <w:rFonts w:hint="eastAsia" w:ascii="Times New Roman" w:hAnsi="Times New Roman" w:eastAsia="宋体" w:cs="Times New Roman"/>
                <w:color w:val="auto"/>
                <w:kern w:val="2"/>
                <w:sz w:val="18"/>
                <w:szCs w:val="18"/>
                <w:lang w:val="en-US" w:eastAsia="zh-CN" w:bidi="ar-SA"/>
              </w:rPr>
              <w:t>5）评价结果：规定了供暖散热器行业绿色工厂评价结果的定义及绿色工厂判定标准。</w:t>
            </w:r>
          </w:p>
        </w:tc>
      </w:tr>
      <w:tr w14:paraId="68FD7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4" w:hRule="atLeast"/>
          <w:jc w:val="center"/>
        </w:trPr>
        <w:tc>
          <w:tcPr>
            <w:tcW w:w="1673" w:type="dxa"/>
            <w:vAlign w:val="center"/>
          </w:tcPr>
          <w:p w14:paraId="0CB7F53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国内外情况</w:t>
            </w:r>
          </w:p>
          <w:p w14:paraId="0167DB9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简要说明</w:t>
            </w:r>
          </w:p>
        </w:tc>
        <w:tc>
          <w:tcPr>
            <w:tcW w:w="8067" w:type="dxa"/>
            <w:gridSpan w:val="8"/>
            <w:vAlign w:val="center"/>
          </w:tcPr>
          <w:p w14:paraId="0F944BC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rightChars="0" w:firstLine="360" w:firstLineChars="200"/>
              <w:jc w:val="both"/>
              <w:textAlignment w:val="auto"/>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1、供暖散热器起步较早发展成熟，当属欧洲，尤其是意大利。供暖散热器在欧洲成熟出现的年代大家公认为19世纪末。供暖散热器作为采暖末端受到世界各国认可。我国供暖散热器种类多种多样，各有优势，而欧美主要采用钢制板型散热器。但在国际上，尚无专门针对供暖散热器行业绿色工厂评价的针对性标准。国内方面，GB/T 36132—2025《绿色工厂评价通则》已于2025年12月31日正式实施，确立了“能源低碳化、资源高效化、生产洁净化、产品绿色化、用地集约化”的指标体系，为各行业制定绿色工厂评价标准提供了顶层依据。在供暖散热器领域，已发布T/CBMF 237—2023《绿色设计产品评价技术规范 供暖散热器》和T/CECS 10239—2022《绿色建材评价 建筑用供暖散热器》两项团体标准，分别聚焦产品绿色设计和绿色建材评价。综上，国内外暂无供暖散热器绿色工厂评价要求相关标准，作为供暖散热器生产大国，急需制定指导该产品绿色生产方针，引领国内外供暖散热器行业走向绿色发展道路；</w:t>
            </w:r>
          </w:p>
          <w:p w14:paraId="4B29509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rightChars="0" w:firstLine="360" w:firstLineChars="200"/>
              <w:textAlignment w:val="auto"/>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2、该项目无对应的国际标准和国外先进标准；</w:t>
            </w:r>
          </w:p>
          <w:p w14:paraId="50CD3B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firstLineChars="200"/>
              <w:jc w:val="left"/>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3、与国内相关标准间的关系：</w:t>
            </w:r>
            <w:r>
              <w:rPr>
                <w:rFonts w:hint="eastAsia" w:ascii="Times New Roman" w:hAnsi="Times New Roman" w:eastAsia="宋体" w:cs="Times New Roman"/>
                <w:color w:val="auto"/>
                <w:kern w:val="2"/>
                <w:sz w:val="18"/>
                <w:szCs w:val="18"/>
                <w:lang w:val="en-US" w:eastAsia="zh-CN" w:bidi="ar-SA"/>
              </w:rPr>
              <w:t>严格遵循 GB/T 36132《绿色工厂评价通则》编制，是通则在供暖散热器行业的细化与落地。与GB/T 29039《钢制采暖散热器》、GB/T 19913《铸铁采暖散热器》、GB/T 34017《复合型供暖散热器》、JG/T 293《压铸铝合金散热器》、T/CECS 10239《绿色建材评价 建筑用供暖散热器》等产品标准和绿色建材标准协调衔接，不冲突、不重复。标准体系位置：本标准为供暖散热器行业绿色工厂评价专用团体标准，是绿色制造标准体系的重要组成，为企业创建、第三方评价、行业管理提供直接依据；</w:t>
            </w:r>
          </w:p>
          <w:p w14:paraId="4E16980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0" w:rightChars="0" w:firstLine="360" w:firstLineChars="200"/>
              <w:textAlignment w:val="auto"/>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4、</w:t>
            </w:r>
            <w:bookmarkStart w:id="1" w:name="_GoBack"/>
            <w:bookmarkEnd w:id="1"/>
            <w:r>
              <w:rPr>
                <w:rFonts w:hint="eastAsia" w:ascii="Times New Roman" w:hAnsi="Times New Roman" w:eastAsia="宋体" w:cs="Times New Roman"/>
                <w:color w:val="auto"/>
                <w:kern w:val="2"/>
                <w:sz w:val="18"/>
                <w:szCs w:val="18"/>
                <w:lang w:val="en-US" w:eastAsia="zh-CN" w:bidi="ar-SA"/>
              </w:rPr>
              <w:t>未发现该项目有知识产权问题。</w:t>
            </w:r>
          </w:p>
        </w:tc>
      </w:tr>
      <w:tr w14:paraId="2D297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 w:hRule="atLeast"/>
          <w:jc w:val="center"/>
        </w:trPr>
        <w:tc>
          <w:tcPr>
            <w:tcW w:w="1673" w:type="dxa"/>
            <w:vAlign w:val="center"/>
          </w:tcPr>
          <w:p w14:paraId="2A2732AC">
            <w:pPr>
              <w:pStyle w:val="4"/>
              <w:keepNext w:val="0"/>
              <w:keepLines w:val="0"/>
              <w:pageBreakBefore w:val="0"/>
              <w:widowControl w:val="0"/>
              <w:tabs>
                <w:tab w:val="clear" w:pos="4153"/>
                <w:tab w:val="clear" w:pos="8306"/>
              </w:tabs>
              <w:kinsoku/>
              <w:wordWrap/>
              <w:overflowPunct/>
              <w:topLinePunct w:val="0"/>
              <w:autoSpaceDE/>
              <w:autoSpaceDN/>
              <w:bidi w:val="0"/>
              <w:adjustRightInd/>
              <w:snapToGrid w:val="0"/>
              <w:spacing w:line="240" w:lineRule="auto"/>
              <w:textAlignment w:val="auto"/>
              <w:rPr>
                <w:rFonts w:hint="default" w:ascii="Times New Roman" w:hAnsi="Times New Roman" w:eastAsia="宋体" w:cs="Times New Roman"/>
              </w:rPr>
            </w:pPr>
            <w:r>
              <w:rPr>
                <w:rFonts w:hint="default" w:ascii="Times New Roman" w:hAnsi="Times New Roman" w:eastAsia="宋体" w:cs="Times New Roman"/>
                <w:u w:val="none"/>
              </w:rPr>
              <w:t>牵头单位</w:t>
            </w:r>
          </w:p>
        </w:tc>
        <w:tc>
          <w:tcPr>
            <w:tcW w:w="4466" w:type="dxa"/>
            <w:gridSpan w:val="5"/>
            <w:vAlign w:val="center"/>
          </w:tcPr>
          <w:p w14:paraId="4642945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p>
          <w:p w14:paraId="5FBCA5D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（签字、盖公章）月     日</w:t>
            </w:r>
          </w:p>
        </w:tc>
        <w:tc>
          <w:tcPr>
            <w:tcW w:w="1701" w:type="dxa"/>
            <w:gridSpan w:val="2"/>
            <w:vAlign w:val="center"/>
          </w:tcPr>
          <w:p w14:paraId="76BE600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归口管理部门</w:t>
            </w:r>
          </w:p>
        </w:tc>
        <w:tc>
          <w:tcPr>
            <w:tcW w:w="1900" w:type="dxa"/>
            <w:vAlign w:val="center"/>
          </w:tcPr>
          <w:p w14:paraId="2A0E7FF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default" w:ascii="Times New Roman" w:hAnsi="Times New Roman" w:eastAsia="宋体" w:cs="Times New Roman"/>
                <w:sz w:val="18"/>
                <w:szCs w:val="18"/>
              </w:rPr>
            </w:pPr>
          </w:p>
          <w:p w14:paraId="5318BDD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（签字、盖公章）</w:t>
            </w:r>
          </w:p>
          <w:p w14:paraId="2B6A236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 xml:space="preserve">    月     日</w:t>
            </w:r>
          </w:p>
        </w:tc>
      </w:tr>
    </w:tbl>
    <w:p w14:paraId="6A6276A8">
      <w:pPr>
        <w:snapToGrid w:val="0"/>
        <w:spacing w:beforeLines="5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注1</w:t>
      </w:r>
      <w:r>
        <w:rPr>
          <w:rFonts w:ascii="宋体" w:hAnsi="宋体" w:eastAsia="宋体"/>
          <w:sz w:val="18"/>
          <w:szCs w:val="18"/>
        </w:rPr>
        <w:t xml:space="preserve">] </w:t>
      </w:r>
      <w:r>
        <w:rPr>
          <w:rFonts w:hint="eastAsia" w:ascii="宋体" w:hAnsi="宋体" w:eastAsia="宋体"/>
          <w:sz w:val="18"/>
          <w:szCs w:val="18"/>
        </w:rPr>
        <w:t xml:space="preserve"> 填写制定或修订项目中，若选择修订必须填写被修订标准号；</w:t>
      </w:r>
    </w:p>
    <w:p w14:paraId="1F4558A6">
      <w:pPr>
        <w:snapToGrid w:val="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注2</w:t>
      </w:r>
      <w:r>
        <w:rPr>
          <w:rFonts w:ascii="宋体" w:hAnsi="宋体" w:eastAsia="宋体"/>
          <w:sz w:val="18"/>
          <w:szCs w:val="18"/>
        </w:rPr>
        <w:t>]</w:t>
      </w:r>
      <w:r>
        <w:rPr>
          <w:rFonts w:hint="eastAsia" w:ascii="宋体" w:hAnsi="宋体" w:eastAsia="宋体"/>
          <w:sz w:val="18"/>
          <w:szCs w:val="18"/>
        </w:rPr>
        <w:t xml:space="preserve">  选择采用国际标准，必须填写采标号及采用程度；</w:t>
      </w:r>
    </w:p>
    <w:p w14:paraId="1A07A380">
      <w:pPr>
        <w:snapToGrid w:val="0"/>
        <w:ind w:left="448" w:leftChars="160" w:firstLine="54" w:firstLineChars="30"/>
        <w:rPr>
          <w:sz w:val="18"/>
          <w:szCs w:val="18"/>
        </w:rPr>
      </w:pPr>
      <w:r>
        <w:rPr>
          <w:rFonts w:ascii="宋体" w:hAnsi="宋体" w:eastAsia="宋体"/>
          <w:sz w:val="18"/>
          <w:szCs w:val="18"/>
        </w:rPr>
        <w:t>[</w:t>
      </w:r>
      <w:r>
        <w:rPr>
          <w:rFonts w:hint="eastAsia" w:ascii="宋体" w:hAnsi="宋体" w:eastAsia="宋体"/>
          <w:sz w:val="18"/>
          <w:szCs w:val="18"/>
        </w:rPr>
        <w:t>注3</w:t>
      </w:r>
      <w:r>
        <w:rPr>
          <w:rFonts w:ascii="宋体" w:hAnsi="宋体" w:eastAsia="宋体"/>
          <w:sz w:val="18"/>
          <w:szCs w:val="18"/>
        </w:rPr>
        <w:t>]</w:t>
      </w:r>
      <w:r>
        <w:rPr>
          <w:rFonts w:hint="eastAsia" w:ascii="宋体" w:hAnsi="宋体" w:eastAsia="宋体"/>
          <w:sz w:val="18"/>
          <w:szCs w:val="18"/>
        </w:rPr>
        <w:t xml:space="preserve">  选择采用快速程序，必须填写快速程序代码。</w:t>
      </w:r>
    </w:p>
    <w:p w14:paraId="47B29E1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embedRegular r:id="rId1" w:fontKey="{C467D1C1-C9FB-4014-8E6B-0A6A43862180}"/>
  </w:font>
  <w:font w:name="方正仿宋_GB2312">
    <w:panose1 w:val="02000000000000000000"/>
    <w:charset w:val="86"/>
    <w:family w:val="auto"/>
    <w:pitch w:val="default"/>
    <w:sig w:usb0="A00002BF" w:usb1="184F6CFA" w:usb2="00000012" w:usb3="00000000" w:csb0="00040001" w:csb1="00000000"/>
    <w:embedRegular r:id="rId2" w:fontKey="{975EC862-4C7F-48FB-AF6F-1A5FAF5DACDD}"/>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B56BDF"/>
    <w:multiLevelType w:val="singleLevel"/>
    <w:tmpl w:val="89B56BD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747499"/>
    <w:rsid w:val="00314295"/>
    <w:rsid w:val="00631028"/>
    <w:rsid w:val="00747499"/>
    <w:rsid w:val="00A618D0"/>
    <w:rsid w:val="00E03E1D"/>
    <w:rsid w:val="00F7264B"/>
    <w:rsid w:val="01213882"/>
    <w:rsid w:val="02532161"/>
    <w:rsid w:val="025F388A"/>
    <w:rsid w:val="031D702B"/>
    <w:rsid w:val="06BB35D2"/>
    <w:rsid w:val="06DB44D3"/>
    <w:rsid w:val="07465DF0"/>
    <w:rsid w:val="079600FE"/>
    <w:rsid w:val="080B4BAB"/>
    <w:rsid w:val="08360110"/>
    <w:rsid w:val="09175198"/>
    <w:rsid w:val="0A786C09"/>
    <w:rsid w:val="0C497FC5"/>
    <w:rsid w:val="0CB16402"/>
    <w:rsid w:val="110F02D5"/>
    <w:rsid w:val="12E666D9"/>
    <w:rsid w:val="13DE0A72"/>
    <w:rsid w:val="140137CB"/>
    <w:rsid w:val="16EC688F"/>
    <w:rsid w:val="193C34F7"/>
    <w:rsid w:val="1AA36433"/>
    <w:rsid w:val="1AFF47DC"/>
    <w:rsid w:val="1D6C1D4D"/>
    <w:rsid w:val="1DE657E0"/>
    <w:rsid w:val="1FE521F3"/>
    <w:rsid w:val="205E01F7"/>
    <w:rsid w:val="231352C9"/>
    <w:rsid w:val="269E759F"/>
    <w:rsid w:val="26F768FD"/>
    <w:rsid w:val="282D72D4"/>
    <w:rsid w:val="2ADC2444"/>
    <w:rsid w:val="2AE31A25"/>
    <w:rsid w:val="2C66290D"/>
    <w:rsid w:val="2DCD42C6"/>
    <w:rsid w:val="2DE071B6"/>
    <w:rsid w:val="33435756"/>
    <w:rsid w:val="35AF70D3"/>
    <w:rsid w:val="36590DED"/>
    <w:rsid w:val="366B3644"/>
    <w:rsid w:val="3C2D6FA3"/>
    <w:rsid w:val="3D135D4F"/>
    <w:rsid w:val="3F3D5750"/>
    <w:rsid w:val="3FC90D91"/>
    <w:rsid w:val="401B49F1"/>
    <w:rsid w:val="40EC2330"/>
    <w:rsid w:val="48102B9E"/>
    <w:rsid w:val="486F44A0"/>
    <w:rsid w:val="4ADA311C"/>
    <w:rsid w:val="4B3E1837"/>
    <w:rsid w:val="4C465518"/>
    <w:rsid w:val="4C523EBC"/>
    <w:rsid w:val="4C9B33F3"/>
    <w:rsid w:val="4FA47125"/>
    <w:rsid w:val="4FBB2E06"/>
    <w:rsid w:val="50A82C45"/>
    <w:rsid w:val="51E1640E"/>
    <w:rsid w:val="55E83909"/>
    <w:rsid w:val="567315FF"/>
    <w:rsid w:val="576B045F"/>
    <w:rsid w:val="58466FCB"/>
    <w:rsid w:val="59831B59"/>
    <w:rsid w:val="5C140AA0"/>
    <w:rsid w:val="5CCE3A33"/>
    <w:rsid w:val="5FC66C44"/>
    <w:rsid w:val="5FCC24AC"/>
    <w:rsid w:val="61ED7052"/>
    <w:rsid w:val="64011C9A"/>
    <w:rsid w:val="660758C0"/>
    <w:rsid w:val="6616621C"/>
    <w:rsid w:val="6A95793E"/>
    <w:rsid w:val="6B963FF1"/>
    <w:rsid w:val="6EB80153"/>
    <w:rsid w:val="712A5284"/>
    <w:rsid w:val="719E357C"/>
    <w:rsid w:val="74015E5E"/>
    <w:rsid w:val="76E00627"/>
    <w:rsid w:val="76EC08E6"/>
    <w:rsid w:val="77163C22"/>
    <w:rsid w:val="7731279D"/>
    <w:rsid w:val="78444715"/>
    <w:rsid w:val="79EE0E19"/>
    <w:rsid w:val="7A6F3D08"/>
    <w:rsid w:val="7D1D17B7"/>
    <w:rsid w:val="7F9A1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28"/>
      <w:szCs w:val="20"/>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Heading4"/>
    <w:basedOn w:val="1"/>
    <w:next w:val="1"/>
    <w:qFormat/>
    <w:uiPriority w:val="99"/>
    <w:pPr>
      <w:spacing w:line="400" w:lineRule="exact"/>
    </w:pPr>
    <w:rPr>
      <w:szCs w:val="28"/>
    </w:rPr>
  </w:style>
  <w:style w:type="paragraph" w:styleId="3">
    <w:name w:val="footer"/>
    <w:basedOn w:val="1"/>
    <w:link w:val="10"/>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unhideWhenUsed/>
    <w:qFormat/>
    <w:uiPriority w:val="99"/>
    <w:pPr>
      <w:widowControl/>
      <w:spacing w:before="100" w:beforeAutospacing="1" w:after="100" w:afterAutospacing="1"/>
      <w:jc w:val="left"/>
    </w:pPr>
    <w:rPr>
      <w:rFonts w:eastAsia="等线"/>
      <w:kern w:val="0"/>
      <w:sz w:val="24"/>
    </w:rPr>
  </w:style>
  <w:style w:type="character" w:styleId="8">
    <w:name w:val="Strong"/>
    <w:basedOn w:val="7"/>
    <w:qFormat/>
    <w:uiPriority w:val="22"/>
    <w:rPr>
      <w:b/>
    </w:rPr>
  </w:style>
  <w:style w:type="character" w:customStyle="1" w:styleId="9">
    <w:name w:val="页眉 Char"/>
    <w:basedOn w:val="7"/>
    <w:link w:val="4"/>
    <w:qFormat/>
    <w:uiPriority w:val="0"/>
    <w:rPr>
      <w:sz w:val="18"/>
      <w:szCs w:val="18"/>
    </w:rPr>
  </w:style>
  <w:style w:type="character" w:customStyle="1" w:styleId="10">
    <w:name w:val="页脚 Char"/>
    <w:basedOn w:val="7"/>
    <w:link w:val="3"/>
    <w:semiHidden/>
    <w:qFormat/>
    <w:uiPriority w:val="99"/>
    <w:rPr>
      <w:sz w:val="18"/>
      <w:szCs w:val="18"/>
    </w:rPr>
  </w:style>
  <w:style w:type="paragraph" w:customStyle="1" w:styleId="1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527</Words>
  <Characters>542</Characters>
  <Lines>4</Lines>
  <Paragraphs>1</Paragraphs>
  <TotalTime>4</TotalTime>
  <ScaleCrop>false</ScaleCrop>
  <LinksUpToDate>false</LinksUpToDate>
  <CharactersWithSpaces>571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2018-05-31T09:17:00Z</dcterms:created>
  <dc:creator>bz</dc:creator>
  <cp:lastModifiedBy>王钰凇</cp:lastModifiedBy>
  <dcterms:modified xsi:type="dcterms:W3CDTF">2026-06-02T05:23:41Z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eyJoZGlkIjoiNTFlYjA5OGQ2MDhlOTMyZGNhOWVkMzFhNTZmNzI0OGYiLCJ1c2VySWQiOiIxNTEyMDM1OTA5In0=</vt:lpwstr>
  </property>
  <property fmtid="{D5CDD505-2E9C-101B-9397-08002B2CF9AE}" pid="3" name="KSOProductBuildVer">
    <vt:lpwstr>2052-12.1.0.23542</vt:lpwstr>
  </property>
  <property fmtid="{D5CDD505-2E9C-101B-9397-08002B2CF9AE}" pid="4" name="ICV">
    <vt:lpwstr>348D5E9D5A1C4E7380CF90E9E06397FA_12</vt:lpwstr>
  </property>
</Properties>
</file>